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14D77" w14:textId="77777777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jdgxs" w:colFirst="0" w:colLast="0"/>
      <w:bookmarkEnd w:id="0"/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IME I PREZIME: Elma Omeragić (rođ. Makarević)</w:t>
      </w:r>
    </w:p>
    <w:p w14:paraId="4E64A808" w14:textId="5D639A79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" w:name="_30j0zll" w:colFirst="0" w:colLast="0"/>
      <w:bookmarkEnd w:id="1"/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Radni staž:</w:t>
      </w:r>
    </w:p>
    <w:p w14:paraId="17BBF8BE" w14:textId="5B335AAB" w:rsidR="00DB094C" w:rsidRPr="00DE3986" w:rsidRDefault="00DB094C" w:rsidP="006C29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hAnsi="Times New Roman" w:cs="Times New Roman"/>
          <w:color w:val="000000"/>
          <w:sz w:val="20"/>
          <w:szCs w:val="20"/>
        </w:rPr>
        <w:t>2022. Vanredni profesor</w:t>
      </w:r>
    </w:p>
    <w:p w14:paraId="5A71FC31" w14:textId="44E861E1" w:rsidR="00DB094C" w:rsidRPr="00DE3986" w:rsidRDefault="00DB094C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hAnsi="Times New Roman" w:cs="Times New Roman"/>
          <w:color w:val="000000"/>
          <w:sz w:val="20"/>
          <w:szCs w:val="20"/>
        </w:rPr>
        <w:t>Katedra za toksikologiju</w:t>
      </w:r>
    </w:p>
    <w:p w14:paraId="068F1EA4" w14:textId="4BDDD187" w:rsidR="00CC0A37" w:rsidRPr="00DE3986" w:rsidRDefault="00000000" w:rsidP="006C29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2018. Docent</w:t>
      </w:r>
    </w:p>
    <w:p w14:paraId="3B9723FD" w14:textId="77777777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Katedra za farmaceutsku analitiku</w:t>
      </w:r>
    </w:p>
    <w:p w14:paraId="304C7368" w14:textId="77777777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2013. Viši asistent </w:t>
      </w:r>
    </w:p>
    <w:p w14:paraId="7FF43618" w14:textId="77777777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Katedra za farmaceutsku analitiku</w:t>
      </w:r>
    </w:p>
    <w:p w14:paraId="56CC2456" w14:textId="77777777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2007. Asistent </w:t>
      </w:r>
    </w:p>
    <w:p w14:paraId="02983329" w14:textId="3E3338F9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Katedra za farmaceutsku analitiku</w:t>
      </w:r>
    </w:p>
    <w:p w14:paraId="23EF65F7" w14:textId="77777777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 xml:space="preserve">Obrazovanje: </w:t>
      </w:r>
    </w:p>
    <w:p w14:paraId="322785CE" w14:textId="5129F763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2018. Dr</w:t>
      </w:r>
      <w:r w:rsid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sci.</w:t>
      </w:r>
    </w:p>
    <w:p w14:paraId="31450ED9" w14:textId="77777777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Doktorska disertacija:</w:t>
      </w: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Upotreba pasivnih sistema za uzorkovanje polarnih i semipolarnih polutanata sa liste Stockholme konvencije</w:t>
      </w:r>
    </w:p>
    <w:p w14:paraId="4F3B6929" w14:textId="4E1D825F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Univerzitet u Sarajevu, Farmaceutski fakultet</w:t>
      </w:r>
    </w:p>
    <w:p w14:paraId="353E31F9" w14:textId="77777777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2018. Spec.</w:t>
      </w:r>
    </w:p>
    <w:p w14:paraId="3186FEB6" w14:textId="5D1F6627" w:rsidR="00CC0A37" w:rsidRPr="006C29C4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Specijalista iz toksikološke hemije</w:t>
      </w:r>
    </w:p>
    <w:p w14:paraId="22E654CD" w14:textId="77777777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2013. Mr sci.</w:t>
      </w:r>
    </w:p>
    <w:p w14:paraId="794FF74A" w14:textId="77777777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Magistarski rad</w:t>
      </w: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: Sardžaj polihloriranih bifenila i organohloriranih pesticida u tkivu prstaca (Lithophaga lithophaga L., 1875) kao indikatora dugotrajne kontaminacije priobalnog područja </w:t>
      </w:r>
    </w:p>
    <w:p w14:paraId="0BCEC247" w14:textId="77777777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bookmarkStart w:id="2" w:name="_1fob9te" w:colFirst="0" w:colLast="0"/>
      <w:bookmarkEnd w:id="2"/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Univerzitet u Sarajevu, Farmaceutski fakultet</w:t>
      </w:r>
    </w:p>
    <w:p w14:paraId="0AF696AE" w14:textId="189ED8BC" w:rsidR="008772C6" w:rsidRPr="00DE3986" w:rsidRDefault="008772C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Prosjek ocjena: 9,33</w:t>
      </w:r>
    </w:p>
    <w:p w14:paraId="14B27738" w14:textId="77777777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2010. Doping kontrolor  (DCO)</w:t>
      </w:r>
    </w:p>
    <w:p w14:paraId="61E329CD" w14:textId="20ED73B9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Antidoping agencija Bosne i Hercegovine</w:t>
      </w:r>
    </w:p>
    <w:p w14:paraId="62C7761C" w14:textId="77777777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2007. Mr. ph.</w:t>
      </w:r>
    </w:p>
    <w:p w14:paraId="190B0BCE" w14:textId="4FFDD2AA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Diplomski ra</w:t>
      </w:r>
      <w:r w:rsidR="000B608E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d</w:t>
      </w:r>
      <w:r w:rsidRPr="00DE3986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:</w:t>
      </w: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Primjena Qiagen kita u izolaciji DNK iz pljuvačke </w:t>
      </w:r>
    </w:p>
    <w:p w14:paraId="57D0AC6F" w14:textId="77777777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Univerzitet u Sarajevu, Farmaceutski fakultet</w:t>
      </w:r>
    </w:p>
    <w:p w14:paraId="7B740CEA" w14:textId="764B8DDF" w:rsidR="00CC0A37" w:rsidRPr="00DE3986" w:rsidRDefault="008772C6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Prosjek ocjena: 9,</w:t>
      </w:r>
      <w:r w:rsidR="000B608E">
        <w:rPr>
          <w:rFonts w:ascii="Times New Roman" w:eastAsia="Times New Roman" w:hAnsi="Times New Roman" w:cs="Times New Roman"/>
          <w:color w:val="000000"/>
          <w:sz w:val="20"/>
          <w:szCs w:val="20"/>
        </w:rPr>
        <w:t>25</w:t>
      </w:r>
    </w:p>
    <w:p w14:paraId="2E20711C" w14:textId="77777777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Profesionalne i naučne pozicije:</w:t>
      </w:r>
    </w:p>
    <w:p w14:paraId="2B48EBED" w14:textId="4F823352" w:rsidR="00DB094C" w:rsidRPr="00DE3986" w:rsidRDefault="00DB094C" w:rsidP="006C29C4">
      <w:pPr>
        <w:numPr>
          <w:ilvl w:val="0"/>
          <w:numId w:val="2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Society of Toxicology, Full Member</w:t>
      </w:r>
    </w:p>
    <w:p w14:paraId="4E23F95F" w14:textId="1E7C4FB2" w:rsidR="00DB094C" w:rsidRPr="00DE3986" w:rsidRDefault="00DB094C" w:rsidP="006C29C4">
      <w:pPr>
        <w:numPr>
          <w:ilvl w:val="0"/>
          <w:numId w:val="2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Evidence-based Toxicology Collaboration (EBTC) at Johns Hopkins Bloomberg School of Public Health</w:t>
      </w:r>
      <w:r w:rsidR="004F414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4F4143" w:rsidRPr="00DE3986">
        <w:rPr>
          <w:rFonts w:ascii="Times New Roman" w:eastAsia="Times New Roman" w:hAnsi="Times New Roman" w:cs="Times New Roman"/>
          <w:sz w:val="20"/>
          <w:szCs w:val="20"/>
        </w:rPr>
        <w:t>Member</w:t>
      </w:r>
    </w:p>
    <w:p w14:paraId="6B09F370" w14:textId="66A5C957" w:rsidR="00DB094C" w:rsidRPr="00DE3986" w:rsidRDefault="00DB094C" w:rsidP="006C29C4">
      <w:pPr>
        <w:numPr>
          <w:ilvl w:val="0"/>
          <w:numId w:val="2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Society for the Advancement of Adverse Outcome Pathways (SAAOP)</w:t>
      </w:r>
      <w:r w:rsidR="00B419C7">
        <w:rPr>
          <w:rFonts w:ascii="Times New Roman" w:eastAsia="Times New Roman" w:hAnsi="Times New Roman" w:cs="Times New Roman"/>
          <w:sz w:val="20"/>
          <w:szCs w:val="20"/>
        </w:rPr>
        <w:t>, Member</w:t>
      </w:r>
    </w:p>
    <w:p w14:paraId="4D6D5618" w14:textId="220A2BB8" w:rsidR="00DB094C" w:rsidRPr="00DE3986" w:rsidRDefault="00DB094C" w:rsidP="006C29C4">
      <w:pPr>
        <w:numPr>
          <w:ilvl w:val="0"/>
          <w:numId w:val="2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Genetic Association in Bosnia and Herzegovina/GENuiH</w:t>
      </w:r>
      <w:r w:rsidR="004F414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4F4143" w:rsidRPr="00DE3986">
        <w:rPr>
          <w:rFonts w:ascii="Times New Roman" w:eastAsia="Times New Roman" w:hAnsi="Times New Roman" w:cs="Times New Roman"/>
          <w:sz w:val="20"/>
          <w:szCs w:val="20"/>
        </w:rPr>
        <w:t>Member</w:t>
      </w:r>
    </w:p>
    <w:p w14:paraId="2D9FFBA4" w14:textId="012A078B" w:rsidR="00CC0A37" w:rsidRPr="00DE3986" w:rsidRDefault="00000000" w:rsidP="006C29C4">
      <w:pPr>
        <w:numPr>
          <w:ilvl w:val="0"/>
          <w:numId w:val="2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Federation of European Toxicologists and European Societies of Toxicology (EUROTOX)</w:t>
      </w:r>
      <w:r w:rsidR="004F4143">
        <w:rPr>
          <w:rFonts w:ascii="Times New Roman" w:eastAsia="Times New Roman" w:hAnsi="Times New Roman" w:cs="Times New Roman"/>
          <w:sz w:val="20"/>
          <w:szCs w:val="20"/>
        </w:rPr>
        <w:t>,</w:t>
      </w:r>
      <w:r w:rsidR="004F4143" w:rsidRPr="004F414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F4143" w:rsidRPr="00DE3986">
        <w:rPr>
          <w:rFonts w:ascii="Times New Roman" w:eastAsia="Times New Roman" w:hAnsi="Times New Roman" w:cs="Times New Roman"/>
          <w:sz w:val="20"/>
          <w:szCs w:val="20"/>
        </w:rPr>
        <w:t>Member</w:t>
      </w:r>
    </w:p>
    <w:p w14:paraId="6D858C74" w14:textId="7B3BF354" w:rsidR="00CC0A37" w:rsidRPr="00DE3986" w:rsidRDefault="00000000" w:rsidP="006C29C4">
      <w:pPr>
        <w:numPr>
          <w:ilvl w:val="0"/>
          <w:numId w:val="2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 xml:space="preserve">European Society of Toxicology </w:t>
      </w:r>
      <w:r w:rsidRPr="00DE3986">
        <w:rPr>
          <w:rFonts w:ascii="Times New Roman" w:eastAsia="Times New Roman" w:hAnsi="Times New Roman" w:cs="Times New Roman"/>
          <w:i/>
          <w:sz w:val="20"/>
          <w:szCs w:val="20"/>
        </w:rPr>
        <w:t xml:space="preserve">In Vitro </w:t>
      </w:r>
      <w:r w:rsidRPr="00DE3986">
        <w:rPr>
          <w:rFonts w:ascii="Times New Roman" w:eastAsia="Times New Roman" w:hAnsi="Times New Roman" w:cs="Times New Roman"/>
          <w:sz w:val="20"/>
          <w:szCs w:val="20"/>
        </w:rPr>
        <w:t>(ESTIV)</w:t>
      </w:r>
      <w:r w:rsidR="004F414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4F4143" w:rsidRPr="00DE3986">
        <w:rPr>
          <w:rFonts w:ascii="Times New Roman" w:eastAsia="Times New Roman" w:hAnsi="Times New Roman" w:cs="Times New Roman"/>
          <w:sz w:val="20"/>
          <w:szCs w:val="20"/>
        </w:rPr>
        <w:t>Member</w:t>
      </w:r>
    </w:p>
    <w:p w14:paraId="376A4217" w14:textId="77777777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Studijski boravci u inostranstvu:</w:t>
      </w:r>
    </w:p>
    <w:p w14:paraId="02764141" w14:textId="77777777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2015. Faculty of Health sciences, University of Ljubljana, Ljubljana, Slovenia (CEEPUS III International summer school “Hazardous Substances”)</w:t>
      </w:r>
    </w:p>
    <w:p w14:paraId="0DB20660" w14:textId="77777777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 xml:space="preserve">Nastavni rad: </w:t>
      </w:r>
    </w:p>
    <w:p w14:paraId="01AB475B" w14:textId="02F97E90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i/>
          <w:sz w:val="20"/>
          <w:szCs w:val="20"/>
        </w:rPr>
        <w:t>Integrisani studij I i II ciklusa Univerziteta u Sarajevu</w:t>
      </w:r>
      <w:r w:rsidR="00DE3986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="00DE3986" w:rsidRPr="00DE3986">
        <w:rPr>
          <w:rFonts w:ascii="Times New Roman" w:eastAsia="Times New Roman" w:hAnsi="Times New Roman" w:cs="Times New Roman"/>
          <w:i/>
          <w:sz w:val="20"/>
          <w:szCs w:val="20"/>
        </w:rPr>
        <w:t>Farmaceutskog fakulteta</w:t>
      </w:r>
    </w:p>
    <w:p w14:paraId="22DD1433" w14:textId="2091C39D" w:rsidR="00CC0A37" w:rsidRPr="00DE3986" w:rsidRDefault="00000000" w:rsidP="006C29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Nastavni pred</w:t>
      </w:r>
      <w:r w:rsidR="009819C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meti</w:t>
      </w:r>
      <w:r w:rsidRPr="00DE398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: </w:t>
      </w: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Toksikološko hemija I, Toksikološka hemija II, Odabrana poglavlja iz Toksikološke hemije: Zloupotreba lijekova u sportu, Odabrana poglavlja iz Toksikološke hemije: Toksikologija i sigurnost hrane</w:t>
      </w:r>
    </w:p>
    <w:p w14:paraId="165CAD77" w14:textId="77777777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 xml:space="preserve"> (III ciklus) doktorski studij na Farmaceutskom fakultetu Univerziteta u Sarajevu </w:t>
      </w:r>
    </w:p>
    <w:p w14:paraId="0EFF9F7C" w14:textId="4B8E9C0C" w:rsidR="00CC0A37" w:rsidRPr="008772C6" w:rsidRDefault="00000000" w:rsidP="006C29C4">
      <w:pPr>
        <w:pStyle w:val="ListParagraph"/>
        <w:numPr>
          <w:ilvl w:val="0"/>
          <w:numId w:val="8"/>
        </w:numPr>
        <w:spacing w:before="120"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819C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Nastavni predmet</w:t>
      </w:r>
      <w:r w:rsidR="000B608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i</w:t>
      </w:r>
      <w:r w:rsidRPr="009819C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: </w:t>
      </w:r>
      <w:r w:rsidRPr="00981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03A07" w:rsidRPr="009819C8">
        <w:rPr>
          <w:rFonts w:ascii="Times New Roman" w:eastAsia="Times New Roman" w:hAnsi="Times New Roman" w:cs="Times New Roman"/>
          <w:color w:val="000000"/>
          <w:sz w:val="20"/>
          <w:szCs w:val="20"/>
        </w:rPr>
        <w:t>Alternativni pristupi u testiranju toksičnosti</w:t>
      </w:r>
      <w:r w:rsid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05A5F" w:rsidRP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>Novi trendovi u ekstrakciji  i pripremi uzoraka za farmaceutsku analizu</w:t>
      </w:r>
      <w:r w:rsid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05A5F" w:rsidRP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>Instrumentalne metode analize proteina i biofarmaceutika</w:t>
      </w:r>
      <w:r w:rsid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05A5F" w:rsidRP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>Dizajn i sinteza novih farmakoloških aktivnih spojeva</w:t>
      </w:r>
      <w:r w:rsid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05A5F" w:rsidRPr="00805A5F">
        <w:rPr>
          <w:rFonts w:ascii="Times New Roman" w:eastAsia="Times New Roman" w:hAnsi="Times New Roman" w:cs="Times New Roman"/>
          <w:color w:val="000000"/>
          <w:sz w:val="20"/>
          <w:szCs w:val="20"/>
        </w:rPr>
        <w:t>Metodologija i etika naučnog istraživanja</w:t>
      </w:r>
    </w:p>
    <w:p w14:paraId="3A3F259C" w14:textId="507D485D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Aktivnosti na Fakultetu:</w:t>
      </w:r>
    </w:p>
    <w:p w14:paraId="5EF4F25B" w14:textId="692FB1E8" w:rsidR="00CC0A37" w:rsidRPr="006C29C4" w:rsidRDefault="00000000" w:rsidP="006C29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2019-danas: Prodekan za kvalitet Univerziteta u Sarajevu</w:t>
      </w:r>
      <w:r w:rsidR="00DE3986" w:rsidRPr="00DE3986">
        <w:rPr>
          <w:rFonts w:ascii="Times New Roman" w:eastAsia="Times New Roman" w:hAnsi="Times New Roman" w:cs="Times New Roman"/>
          <w:color w:val="000000"/>
          <w:sz w:val="20"/>
          <w:szCs w:val="20"/>
        </w:rPr>
        <w:t>-Faramceutskog fakulteta</w:t>
      </w:r>
    </w:p>
    <w:p w14:paraId="7602823E" w14:textId="77777777" w:rsidR="00CC0A37" w:rsidRPr="00DE3986" w:rsidRDefault="00000000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Proje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k</w:t>
      </w:r>
      <w:r w:rsidRPr="00DE398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t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i</w:t>
      </w:r>
      <w:r w:rsidRPr="00DE398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14:paraId="607824D6" w14:textId="54EC0CFC" w:rsidR="00803A07" w:rsidRPr="00DE3986" w:rsidRDefault="00803A07" w:rsidP="006C29C4">
      <w:pPr>
        <w:pStyle w:val="ListParagraph"/>
        <w:numPr>
          <w:ilvl w:val="0"/>
          <w:numId w:val="4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2024–2025. Ministarstvo za nauku visoko obrazovanje i mlade Kantona Sarajevo, “Izloženost majke i zdravlje djeteta: Istraživanje transplacentarnog prijenosa polutanata/TOXMOM”, voditelj projekta: prof. dr. Elma Omeragić</w:t>
      </w:r>
    </w:p>
    <w:p w14:paraId="65686BD5" w14:textId="77777777" w:rsidR="00803A07" w:rsidRPr="00DE3986" w:rsidRDefault="00803A07" w:rsidP="006C29C4">
      <w:pPr>
        <w:pStyle w:val="ListParagraph"/>
        <w:numPr>
          <w:ilvl w:val="0"/>
          <w:numId w:val="4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2024–2025, Federalno ministarstvo obrazovanja i nauke, Znanstveno-istraživačka suradnja između Republike Slovenije i BiH, „Određivanje sadržaja teških metala i sekundarnih metabolita u uzorcima konoplje (Cannabis sativa L.) prikupljenih sa područja zagađenog teškim metalima“, voditelj projekta: prof. dr. Ervina Bečić</w:t>
      </w:r>
    </w:p>
    <w:p w14:paraId="6B03D5CA" w14:textId="77777777" w:rsidR="00186EB4" w:rsidRPr="00DE3986" w:rsidRDefault="00186EB4" w:rsidP="006C29C4">
      <w:pPr>
        <w:pStyle w:val="ListParagraph"/>
        <w:numPr>
          <w:ilvl w:val="0"/>
          <w:numId w:val="4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2021–2023, Ministarstvo za nauku, visoko obrazovanje i mlade Kantona Sarajevo, „Uticaj aerosola različitih duhanskih proizvoda na zdravlje pojedinaca i zajednice“, voditelj projekta: doc. dr. Mirza Dedić</w:t>
      </w:r>
    </w:p>
    <w:p w14:paraId="4C3D6977" w14:textId="542FB53E" w:rsidR="00186EB4" w:rsidRPr="00DE3986" w:rsidRDefault="00186EB4" w:rsidP="006C29C4">
      <w:pPr>
        <w:pStyle w:val="ListParagraph"/>
        <w:numPr>
          <w:ilvl w:val="0"/>
          <w:numId w:val="4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2021–2024, Erasmus+ Capacity Building in Higher Education Project, „Innovating quality assessment tools for pharmacy studies in Bosnia and Herzegovina – IQPharm“, voditelj projekta: prof. dr. Tamer Bego</w:t>
      </w:r>
    </w:p>
    <w:p w14:paraId="1201C9D9" w14:textId="77777777" w:rsidR="00803A07" w:rsidRPr="00DE3986" w:rsidRDefault="00803A07" w:rsidP="006C29C4">
      <w:pPr>
        <w:pStyle w:val="ListParagraph"/>
        <w:numPr>
          <w:ilvl w:val="0"/>
          <w:numId w:val="4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2021–2023, Ministarstvo za nauku, visoko obrazovanje i mlade Kantona Sarajevo, „Sekundarni metaboliti – target molekuli u identifikaciji genetičke varijabilnosti biljnih vrsta roda Sorbus“, voditelj projekta: prof. dr. Haris Nikšić</w:t>
      </w:r>
    </w:p>
    <w:p w14:paraId="186314A9" w14:textId="4D8568FF" w:rsidR="00186EB4" w:rsidRPr="00DE3986" w:rsidRDefault="00186EB4" w:rsidP="006C29C4">
      <w:pPr>
        <w:pStyle w:val="ListParagraph"/>
        <w:numPr>
          <w:ilvl w:val="0"/>
          <w:numId w:val="4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2020-2023, European Commission's Joint Research Centre (JRC), „Modelling the Pathogenesis of COVID-19 using the Adverse Outcome Pathway Framework</w:t>
      </w:r>
      <w:r w:rsidR="00DE3986" w:rsidRPr="00DE3986">
        <w:rPr>
          <w:rFonts w:ascii="Times New Roman" w:eastAsia="Times New Roman" w:hAnsi="Times New Roman" w:cs="Times New Roman"/>
          <w:sz w:val="20"/>
          <w:szCs w:val="20"/>
        </w:rPr>
        <w:t>/CIAO</w:t>
      </w:r>
      <w:r w:rsidRPr="00DE3986">
        <w:rPr>
          <w:rFonts w:ascii="Times New Roman" w:eastAsia="Times New Roman" w:hAnsi="Times New Roman" w:cs="Times New Roman"/>
          <w:sz w:val="20"/>
          <w:szCs w:val="20"/>
        </w:rPr>
        <w:t>", voditelj</w:t>
      </w:r>
      <w:r w:rsidR="00DE3986" w:rsidRPr="00DE3986">
        <w:rPr>
          <w:rFonts w:ascii="Times New Roman" w:eastAsia="Times New Roman" w:hAnsi="Times New Roman" w:cs="Times New Roman"/>
          <w:sz w:val="20"/>
          <w:szCs w:val="20"/>
        </w:rPr>
        <w:t>: Senior Expert Clemens WITTWEHR</w:t>
      </w:r>
    </w:p>
    <w:p w14:paraId="665EC473" w14:textId="2E897F5D" w:rsidR="00CC0A37" w:rsidRPr="00DE3986" w:rsidRDefault="00803A07" w:rsidP="006C29C4">
      <w:pPr>
        <w:pStyle w:val="ListParagraph"/>
        <w:numPr>
          <w:ilvl w:val="0"/>
          <w:numId w:val="4"/>
        </w:num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sz w:val="20"/>
          <w:szCs w:val="20"/>
        </w:rPr>
        <w:t>2020–2021, Ministarstvo za obrazovanje, nauku i mlade Kantona Sarajevo, „Analiza potencijalnih biomarkera u ranoj dijagnostici, praćenju statusa i ishoda pacijenata oboljelih od COVID-19“, voditelj projekta: prof. dr. Tamer Bego</w:t>
      </w:r>
    </w:p>
    <w:p w14:paraId="5CA36830" w14:textId="77777777" w:rsidR="00CC0A37" w:rsidRPr="00DE3986" w:rsidRDefault="00000000" w:rsidP="006C29C4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Odabrane publikacije (do 10):</w:t>
      </w:r>
    </w:p>
    <w:p w14:paraId="494A1DFD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1.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Omeragić, E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>.; Imamović, B.; Bečić, E.; Dedić, M.; Hashemi, F. Modulating the Human Microbiome: The Impact of Xenobiotics on Gut Microbial Composition and Therapeutic Strategies. In Human Microbiome: Techniques, Strategies, and Therapeutic Potential; Khurshid, M., Akash, M. S. H., Eds.; Springer Nature: Singapore, 2024; pp 587–623. https://doi.org/10.1007/978-981-97-3790-1_19.</w:t>
      </w:r>
    </w:p>
    <w:p w14:paraId="3B6D43FC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2. Dedić, M.;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Omeragić, E.;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 Imamović, B.; Bilajac, E.; Mahmutović, L.; Glamočlija, U.; Bečić, E. HPLC Method for the Determination of Thymoquinone in Growth Cell Medium. Technology and Health Care 2024, No. Preprint, 1–14.</w:t>
      </w:r>
    </w:p>
    <w:p w14:paraId="69D5E28D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3. Hogberg, H. T.; Tsaioun, K.; Breidenbach, J. D.; Elmore, B.; Filipovska, J.; Garcia-Reyero, N.; Hargreaves, A. J.; Joshi, O.;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Omeragic, E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>.; Plant, S.; Ram, R.; Virmani, I.; Waspe, J.; Macmillan, D. S. A Systematic Scoping Review of the Neurological Effects of COVID-19. NeuroToxicology 2024, 103, 16–26. https://doi.org/10.1016/j.neuro.2024.05.003.</w:t>
      </w:r>
    </w:p>
    <w:p w14:paraId="4D612A6A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 xml:space="preserve">4.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Omeragić, E.;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 Krais, A. M.; Meseldžić, N.; Bečić, E.; Imamović, B.; Dedić, M.; Kurtalić, L.; Bedak, O.; Prnjavorac, L.; Prnjavorac, B. Per-and Polyfluoroalkyl Substances as a Factor Modulating COVID-19: Preliminary Data. Presented at: Conference of Biochemists and Molecular Biologists in B&amp;H, 18-20.May 2023., Sarajevo, Bosnia and Herzegovina</w:t>
      </w:r>
    </w:p>
    <w:p w14:paraId="23A513A1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5. Hashemi, F.; Hoepner, L.; Hamidinejad, F. S.; Haluza, D.; Afrashteh, S.; Abbasi, A.;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Omeragić, E.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 et. al. A Comprehensive Health Effects Assessment of the Use of Sanitizers and Disinfectants during COVID-19 Pandemic: A Global Survey. Environmental Science and Pollution Research International 2023, 30 (28), 72368. https://doi.org/10.1007/s11356-023-27197-6.</w:t>
      </w:r>
    </w:p>
    <w:p w14:paraId="0EEEC947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6. Begić, E.; Aziri, B.;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Omeragić, E.;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 Medjedović, E.; Iglica, A.; Stanetić, B.; Kovačević-Preradović, T.; Živanović, Ž.; Begić, A.; Janković, S. Heat-Not-Burn Tobacco Products and Cardiovascular Risk Reduction: A Systematic Review of Randomized Controlled Trials. Technology and Health Care 2023, 31 (4), 1457–1491.</w:t>
      </w:r>
    </w:p>
    <w:p w14:paraId="79AC6EB3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7. Clerbaux, L.-A.; Albertini, M. C.; Amigó, N.; Beronius, A.; Bezemer, G. F. G.; Coecke, S.; Daskalopoulos, E. P.; del Giudice, G.; Greco, D.; Grenga, L.; Mantovani, A.; Muñoz, A.;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Omeragic, E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>.; Parissis, N.; Petrillo, M.; Saarimäki, L. A.; Soares, H.; Sullivan, K.; Landesmann, B. Factors Modulating COVID-19: A Mechanistic Understanding Based on the Adverse Outcome Pathway Framework. Journal of Clinical Medicine 2022, 11 (15), 4464. https://doi.org/10.3390/jcm11154464.</w:t>
      </w:r>
    </w:p>
    <w:p w14:paraId="671FB4EC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8. Imamović, B.; Trebše, P.;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Omeragić, E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>.; Bečić, E.; Pečet, A.; Dedić, M. Stability and Removal of Benzophenone-Type UV Filters from Water Matrices by Advanced Oxidation Processes. Molecules 2022, 27 (6), 1874. https://doi.org/10.3390/molecules27061874.</w:t>
      </w:r>
    </w:p>
    <w:p w14:paraId="466CB127" w14:textId="77777777" w:rsidR="00DE3986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9. Niksic, H.; Becic, F.; Koric, E.; Gusic, I.;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Omeragic, E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>.; Muratovic, S.; Miladinovic, B.; Duric, K. Cytotoxicity Screening of Thymus Vulgaris L. Essential Oil in Brine Shrimp Nauplii and Cancer Cell Lines. Sci Rep 2021, 11 (1), 13178. https://doi.org/10.1038/s41598-021-92679-x.</w:t>
      </w:r>
    </w:p>
    <w:p w14:paraId="336D1566" w14:textId="52D502D4" w:rsidR="00CC0A37" w:rsidRPr="00DE3986" w:rsidRDefault="00DE3986" w:rsidP="006C29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 w:hanging="720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10. </w:t>
      </w:r>
      <w:r w:rsidRPr="00DE3986">
        <w:rPr>
          <w:rFonts w:ascii="Times New Roman" w:eastAsia="Times New Roman" w:hAnsi="Times New Roman" w:cs="Times New Roman"/>
          <w:b/>
          <w:sz w:val="20"/>
          <w:szCs w:val="20"/>
        </w:rPr>
        <w:t>Omeragic, E.;</w:t>
      </w:r>
      <w:r w:rsidRPr="00DE3986">
        <w:rPr>
          <w:rFonts w:ascii="Times New Roman" w:eastAsia="Times New Roman" w:hAnsi="Times New Roman" w:cs="Times New Roman"/>
          <w:bCs/>
          <w:sz w:val="20"/>
          <w:szCs w:val="20"/>
        </w:rPr>
        <w:t xml:space="preserve"> Marjanovic, A.; Djedjibegovic, J.; Turalic, A.; Causevic, A.; Niksic, H.; Caklovica, F.; Sober, M. Arsenic, Cadmium, Mercury, and Lead in Date Mussels from the Sarajevo Fish Market (Bosnia and Herzegovina): A Preliminary Study on the Health Risks. Turkish Journal of Veterinary &amp; Animal Sciences 2020, 44 (2), 435–442. https://doi.org/10.3906/vet-1908-13.</w:t>
      </w:r>
    </w:p>
    <w:sectPr w:rsidR="00CC0A37" w:rsidRPr="00DE3986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170FA6C8-6AF6-4BFC-93D0-4C0E858EC7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7A40CC-AC27-40E1-961E-33CE3C6AF80A}"/>
    <w:embedBold r:id="rId3" w:fontKey="{F43F1683-A1A8-4AC9-BCD6-38A3538409E6}"/>
    <w:embedItalic r:id="rId4" w:fontKey="{FB12CD7C-1825-4DAA-8E79-F99148E890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5C6F225-089A-4641-811E-DD975B238184}"/>
    <w:embedItalic r:id="rId6" w:fontKey="{DEC11C29-F099-489B-861F-6CCE1AFF26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F2A916-DAC2-4765-9A7F-DBEF42BD65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B030F"/>
    <w:multiLevelType w:val="hybridMultilevel"/>
    <w:tmpl w:val="057A836E"/>
    <w:lvl w:ilvl="0" w:tplc="A8FEB576">
      <w:start w:val="1"/>
      <w:numFmt w:val="bullet"/>
      <w:lvlText w:val="●"/>
      <w:lvlJc w:val="left"/>
      <w:pPr>
        <w:ind w:left="566" w:hanging="359"/>
      </w:pPr>
      <w:rPr>
        <w:u w:val="none"/>
      </w:rPr>
    </w:lvl>
    <w:lvl w:ilvl="1" w:tplc="22102A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20A2E46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A6BC24E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9EBC13A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263890A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755021E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5310DF3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3E29BFE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6EA0CA0"/>
    <w:multiLevelType w:val="hybridMultilevel"/>
    <w:tmpl w:val="033085B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72609"/>
    <w:multiLevelType w:val="hybridMultilevel"/>
    <w:tmpl w:val="BF688818"/>
    <w:lvl w:ilvl="0" w:tplc="7D56BC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5662254">
      <w:start w:val="1"/>
      <w:numFmt w:val="upperLetter"/>
      <w:lvlText w:val="%2."/>
      <w:lvlJc w:val="left"/>
      <w:pPr>
        <w:ind w:left="1440" w:hanging="360"/>
      </w:pPr>
    </w:lvl>
    <w:lvl w:ilvl="2" w:tplc="4FDE7D9E">
      <w:start w:val="1"/>
      <w:numFmt w:val="lowerRoman"/>
      <w:lvlText w:val="%3."/>
      <w:lvlJc w:val="right"/>
      <w:pPr>
        <w:ind w:left="2160" w:hanging="180"/>
      </w:pPr>
    </w:lvl>
    <w:lvl w:ilvl="3" w:tplc="9DE26E48">
      <w:start w:val="1"/>
      <w:numFmt w:val="decimal"/>
      <w:lvlText w:val="%4."/>
      <w:lvlJc w:val="left"/>
      <w:pPr>
        <w:ind w:left="2880" w:hanging="360"/>
      </w:pPr>
    </w:lvl>
    <w:lvl w:ilvl="4" w:tplc="5D7E1D2E">
      <w:start w:val="1"/>
      <w:numFmt w:val="lowerLetter"/>
      <w:lvlText w:val="%5."/>
      <w:lvlJc w:val="left"/>
      <w:pPr>
        <w:ind w:left="3600" w:hanging="360"/>
      </w:pPr>
    </w:lvl>
    <w:lvl w:ilvl="5" w:tplc="ED00CC6A">
      <w:start w:val="1"/>
      <w:numFmt w:val="lowerRoman"/>
      <w:lvlText w:val="%6."/>
      <w:lvlJc w:val="right"/>
      <w:pPr>
        <w:ind w:left="4320" w:hanging="180"/>
      </w:pPr>
    </w:lvl>
    <w:lvl w:ilvl="6" w:tplc="A184F3BA">
      <w:start w:val="1"/>
      <w:numFmt w:val="decimal"/>
      <w:lvlText w:val="%7."/>
      <w:lvlJc w:val="left"/>
      <w:pPr>
        <w:ind w:left="5040" w:hanging="360"/>
      </w:pPr>
    </w:lvl>
    <w:lvl w:ilvl="7" w:tplc="AB30E644">
      <w:start w:val="1"/>
      <w:numFmt w:val="lowerLetter"/>
      <w:lvlText w:val="%8."/>
      <w:lvlJc w:val="left"/>
      <w:pPr>
        <w:ind w:left="5760" w:hanging="360"/>
      </w:pPr>
    </w:lvl>
    <w:lvl w:ilvl="8" w:tplc="648E2FE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17DEC"/>
    <w:multiLevelType w:val="hybridMultilevel"/>
    <w:tmpl w:val="19ECE8D4"/>
    <w:lvl w:ilvl="0" w:tplc="AC6AEA4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D0AD0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EDAD5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C7CC05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D2C04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83CCB5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B10235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94A2E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15052F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017A25"/>
    <w:multiLevelType w:val="hybridMultilevel"/>
    <w:tmpl w:val="4DFE747E"/>
    <w:lvl w:ilvl="0" w:tplc="711CCB6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6CCFB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494D9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652D68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5AE04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DB6BC1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A3E383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1AC45A8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98AD22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4C6EC3"/>
    <w:multiLevelType w:val="hybridMultilevel"/>
    <w:tmpl w:val="F6606CDA"/>
    <w:lvl w:ilvl="0" w:tplc="6BFE74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8E47C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9214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1A0414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8BC3C6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CDE5F9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AA04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7E2E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0A04E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3A4A6C"/>
    <w:multiLevelType w:val="hybridMultilevel"/>
    <w:tmpl w:val="A13CE28A"/>
    <w:lvl w:ilvl="0" w:tplc="4C00F98A">
      <w:start w:val="1"/>
      <w:numFmt w:val="decimal"/>
      <w:lvlText w:val="%1."/>
      <w:lvlJc w:val="left"/>
      <w:pPr>
        <w:ind w:left="720" w:hanging="360"/>
      </w:pPr>
    </w:lvl>
    <w:lvl w:ilvl="1" w:tplc="EC680C6E">
      <w:start w:val="1"/>
      <w:numFmt w:val="lowerLetter"/>
      <w:lvlText w:val="%2."/>
      <w:lvlJc w:val="left"/>
      <w:pPr>
        <w:ind w:left="1440" w:hanging="360"/>
      </w:pPr>
    </w:lvl>
    <w:lvl w:ilvl="2" w:tplc="1DE43838">
      <w:start w:val="1"/>
      <w:numFmt w:val="lowerRoman"/>
      <w:lvlText w:val="%3."/>
      <w:lvlJc w:val="right"/>
      <w:pPr>
        <w:ind w:left="2160" w:hanging="180"/>
      </w:pPr>
    </w:lvl>
    <w:lvl w:ilvl="3" w:tplc="17AA40AC">
      <w:start w:val="1"/>
      <w:numFmt w:val="decimal"/>
      <w:lvlText w:val="%4."/>
      <w:lvlJc w:val="left"/>
      <w:pPr>
        <w:ind w:left="2880" w:hanging="360"/>
      </w:pPr>
    </w:lvl>
    <w:lvl w:ilvl="4" w:tplc="8A1CDDBE">
      <w:start w:val="1"/>
      <w:numFmt w:val="lowerLetter"/>
      <w:lvlText w:val="%5."/>
      <w:lvlJc w:val="left"/>
      <w:pPr>
        <w:ind w:left="3600" w:hanging="360"/>
      </w:pPr>
    </w:lvl>
    <w:lvl w:ilvl="5" w:tplc="79483282">
      <w:start w:val="1"/>
      <w:numFmt w:val="lowerRoman"/>
      <w:lvlText w:val="%6."/>
      <w:lvlJc w:val="right"/>
      <w:pPr>
        <w:ind w:left="4320" w:hanging="180"/>
      </w:pPr>
    </w:lvl>
    <w:lvl w:ilvl="6" w:tplc="1B0E4E36">
      <w:start w:val="1"/>
      <w:numFmt w:val="decimal"/>
      <w:lvlText w:val="%7."/>
      <w:lvlJc w:val="left"/>
      <w:pPr>
        <w:ind w:left="5040" w:hanging="360"/>
      </w:pPr>
    </w:lvl>
    <w:lvl w:ilvl="7" w:tplc="C74AEDDA">
      <w:start w:val="1"/>
      <w:numFmt w:val="lowerLetter"/>
      <w:lvlText w:val="%8."/>
      <w:lvlJc w:val="left"/>
      <w:pPr>
        <w:ind w:left="5760" w:hanging="360"/>
      </w:pPr>
    </w:lvl>
    <w:lvl w:ilvl="8" w:tplc="882EBCD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43220"/>
    <w:multiLevelType w:val="hybridMultilevel"/>
    <w:tmpl w:val="6726763A"/>
    <w:lvl w:ilvl="0" w:tplc="13E46DB0">
      <w:start w:val="1"/>
      <w:numFmt w:val="decimal"/>
      <w:lvlText w:val="%1."/>
      <w:lvlJc w:val="left"/>
      <w:pPr>
        <w:ind w:left="720" w:hanging="360"/>
      </w:pPr>
    </w:lvl>
    <w:lvl w:ilvl="1" w:tplc="5FBAB7E8">
      <w:start w:val="1"/>
      <w:numFmt w:val="decimal"/>
      <w:lvlText w:val="%2."/>
      <w:lvlJc w:val="left"/>
      <w:pPr>
        <w:ind w:left="1440" w:hanging="1080"/>
      </w:pPr>
    </w:lvl>
    <w:lvl w:ilvl="2" w:tplc="D5D60BB6">
      <w:start w:val="1"/>
      <w:numFmt w:val="decimal"/>
      <w:lvlText w:val="%3."/>
      <w:lvlJc w:val="left"/>
      <w:pPr>
        <w:ind w:left="2160" w:hanging="1980"/>
      </w:pPr>
    </w:lvl>
    <w:lvl w:ilvl="3" w:tplc="B4CC76CE">
      <w:start w:val="1"/>
      <w:numFmt w:val="decimal"/>
      <w:lvlText w:val="%4."/>
      <w:lvlJc w:val="left"/>
      <w:pPr>
        <w:ind w:left="2880" w:hanging="2520"/>
      </w:pPr>
    </w:lvl>
    <w:lvl w:ilvl="4" w:tplc="5A72525E">
      <w:start w:val="1"/>
      <w:numFmt w:val="decimal"/>
      <w:lvlText w:val="%5."/>
      <w:lvlJc w:val="left"/>
      <w:pPr>
        <w:ind w:left="3600" w:hanging="3240"/>
      </w:pPr>
    </w:lvl>
    <w:lvl w:ilvl="5" w:tplc="4F2E015E">
      <w:start w:val="1"/>
      <w:numFmt w:val="decimal"/>
      <w:lvlText w:val="%6."/>
      <w:lvlJc w:val="left"/>
      <w:pPr>
        <w:ind w:left="4320" w:hanging="4140"/>
      </w:pPr>
    </w:lvl>
    <w:lvl w:ilvl="6" w:tplc="D934614E">
      <w:start w:val="1"/>
      <w:numFmt w:val="decimal"/>
      <w:lvlText w:val="%7."/>
      <w:lvlJc w:val="left"/>
      <w:pPr>
        <w:ind w:left="5040" w:hanging="4680"/>
      </w:pPr>
    </w:lvl>
    <w:lvl w:ilvl="7" w:tplc="4F247C4E">
      <w:start w:val="1"/>
      <w:numFmt w:val="decimal"/>
      <w:lvlText w:val="%8."/>
      <w:lvlJc w:val="left"/>
      <w:pPr>
        <w:ind w:left="5760" w:hanging="5400"/>
      </w:pPr>
    </w:lvl>
    <w:lvl w:ilvl="8" w:tplc="47643AD6">
      <w:start w:val="1"/>
      <w:numFmt w:val="decimal"/>
      <w:lvlText w:val="%9."/>
      <w:lvlJc w:val="left"/>
      <w:pPr>
        <w:ind w:left="6480" w:hanging="6300"/>
      </w:pPr>
    </w:lvl>
  </w:abstractNum>
  <w:num w:numId="1" w16cid:durableId="1308247206">
    <w:abstractNumId w:val="4"/>
  </w:num>
  <w:num w:numId="2" w16cid:durableId="464350369">
    <w:abstractNumId w:val="5"/>
  </w:num>
  <w:num w:numId="3" w16cid:durableId="19011240">
    <w:abstractNumId w:val="6"/>
  </w:num>
  <w:num w:numId="4" w16cid:durableId="46076819">
    <w:abstractNumId w:val="0"/>
  </w:num>
  <w:num w:numId="5" w16cid:durableId="1453671496">
    <w:abstractNumId w:val="2"/>
  </w:num>
  <w:num w:numId="6" w16cid:durableId="1922058837">
    <w:abstractNumId w:val="3"/>
  </w:num>
  <w:num w:numId="7" w16cid:durableId="413868113">
    <w:abstractNumId w:val="7"/>
  </w:num>
  <w:num w:numId="8" w16cid:durableId="254940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A37"/>
    <w:rsid w:val="000B608E"/>
    <w:rsid w:val="000D1A8E"/>
    <w:rsid w:val="00186EB4"/>
    <w:rsid w:val="004F4143"/>
    <w:rsid w:val="00603950"/>
    <w:rsid w:val="006C29C4"/>
    <w:rsid w:val="00803A07"/>
    <w:rsid w:val="00805A5F"/>
    <w:rsid w:val="008772C6"/>
    <w:rsid w:val="009754BF"/>
    <w:rsid w:val="009819C8"/>
    <w:rsid w:val="00B419C7"/>
    <w:rsid w:val="00CC0A37"/>
    <w:rsid w:val="00DB094C"/>
    <w:rsid w:val="00DE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F6F03"/>
  <w15:docId w15:val="{40578EEF-971D-40E9-9396-8DBF1F9B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03A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2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Elma Omeragić</cp:lastModifiedBy>
  <cp:revision>10</cp:revision>
  <dcterms:created xsi:type="dcterms:W3CDTF">2024-12-24T14:28:00Z</dcterms:created>
  <dcterms:modified xsi:type="dcterms:W3CDTF">2025-01-13T20:52:00Z</dcterms:modified>
</cp:coreProperties>
</file>