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B935" w14:textId="77777777" w:rsidR="00345938" w:rsidRPr="00345938" w:rsidRDefault="00345938" w:rsidP="00345938">
      <w:pPr>
        <w:rPr>
          <w:b/>
          <w:bCs/>
          <w:lang w:val="bs-Latn-BA"/>
        </w:rPr>
      </w:pPr>
      <w:r w:rsidRPr="00345938">
        <w:rPr>
          <w:b/>
          <w:bCs/>
          <w:lang w:val="bs-Latn-BA"/>
        </w:rPr>
        <w:t>AttractAdria učestvovala u predstavljanju zajedničkog ERA White Papera deset evropskih projekata</w:t>
      </w:r>
    </w:p>
    <w:p w14:paraId="711E04F6" w14:textId="77777777" w:rsidR="00345938" w:rsidRPr="00345938" w:rsidRDefault="00345938" w:rsidP="00345938">
      <w:pPr>
        <w:rPr>
          <w:lang w:val="bs-Latn-BA"/>
        </w:rPr>
      </w:pPr>
      <w:r w:rsidRPr="00345938">
        <w:rPr>
          <w:lang w:val="bs-Latn-BA"/>
        </w:rPr>
        <w:t xml:space="preserve">Projekat AttractAdria, čiji je koordinator Univerzitet u Sarajevu, učestvovao je na evropskom događaju </w:t>
      </w:r>
      <w:r w:rsidRPr="00345938">
        <w:rPr>
          <w:b/>
          <w:bCs/>
          <w:lang w:val="bs-Latn-BA"/>
        </w:rPr>
        <w:t>Talent Ecosystems: Building Sustainable Research Careers</w:t>
      </w:r>
      <w:r w:rsidRPr="00345938">
        <w:rPr>
          <w:lang w:val="bs-Latn-BA"/>
        </w:rPr>
        <w:t>, održanom 29. septembra 2026. godine u Briselu, koji je okupio predstavnike deset projekata finansiranih u okviru programa Horizon Europe.</w:t>
      </w:r>
    </w:p>
    <w:p w14:paraId="27B141FC" w14:textId="106474FB" w:rsidR="00345938" w:rsidRPr="00345938" w:rsidRDefault="00345938" w:rsidP="00345938">
      <w:pPr>
        <w:rPr>
          <w:lang w:val="bs-Latn-BA"/>
        </w:rPr>
      </w:pPr>
      <w:r w:rsidRPr="00345938">
        <w:rPr>
          <w:lang w:val="bs-Latn-BA"/>
        </w:rPr>
        <w:t xml:space="preserve">Jedan od značajnih rezultata saradnje ovih projekata bilo je predstavljanje zajedničkog dokumenta </w:t>
      </w:r>
      <w:hyperlink r:id="rId10" w:history="1">
        <w:r w:rsidRPr="00345938">
          <w:rPr>
            <w:rStyle w:val="Hyperlink"/>
            <w:b/>
            <w:bCs/>
            <w:lang w:val="bs-Latn-BA"/>
          </w:rPr>
          <w:t>ERA White Paper – The European Charter for Researchers in Modern Talent Ecosystems: Structural Gaps and Policy Pathways across the ERA</w:t>
        </w:r>
        <w:r w:rsidRPr="00345938">
          <w:rPr>
            <w:rStyle w:val="Hyperlink"/>
            <w:lang w:val="bs-Latn-BA"/>
          </w:rPr>
          <w:t>.</w:t>
        </w:r>
      </w:hyperlink>
    </w:p>
    <w:p w14:paraId="563D3AAF" w14:textId="77777777" w:rsidR="00345938" w:rsidRPr="00345938" w:rsidRDefault="00345938" w:rsidP="00345938">
      <w:pPr>
        <w:rPr>
          <w:lang w:val="bs-Latn-BA"/>
        </w:rPr>
      </w:pPr>
      <w:r w:rsidRPr="00345938">
        <w:rPr>
          <w:lang w:val="bs-Latn-BA"/>
        </w:rPr>
        <w:t>Dokument je rezultat zajedničkog rada deset srodnih evropskih projekata (</w:t>
      </w:r>
      <w:r w:rsidRPr="00345938">
        <w:rPr>
          <w:i/>
          <w:iCs/>
          <w:lang w:val="bs-Latn-BA"/>
        </w:rPr>
        <w:t>sister projects</w:t>
      </w:r>
      <w:r w:rsidRPr="00345938">
        <w:rPr>
          <w:lang w:val="bs-Latn-BA"/>
        </w:rPr>
        <w:t>) i razmatra ključne izazove u razvoju istraživačkih karijera, institucionalnoj podršci istraživačima i primjeni principa Evropske povelje za istraživače.</w:t>
      </w:r>
    </w:p>
    <w:p w14:paraId="06013920" w14:textId="77777777" w:rsidR="00345938" w:rsidRPr="00345938" w:rsidRDefault="00345938" w:rsidP="00345938">
      <w:pPr>
        <w:rPr>
          <w:lang w:val="bs-Latn-BA"/>
        </w:rPr>
      </w:pPr>
      <w:r w:rsidRPr="00345938">
        <w:rPr>
          <w:lang w:val="bs-Latn-BA"/>
        </w:rPr>
        <w:t>Na događaju je aktivno učestvovao i projekat AttractAdria, čiji su predstavnici doprinijeli diskusijama o razvoju održivih istraživačkih ekosistema, unapređenju uslova za razvoj istraživačkih karijera i jačanju međunarodne saradnje.</w:t>
      </w:r>
    </w:p>
    <w:p w14:paraId="77F9232A" w14:textId="77777777" w:rsidR="00345938" w:rsidRPr="00345938" w:rsidRDefault="00345938" w:rsidP="00345938">
      <w:pPr>
        <w:rPr>
          <w:lang w:val="bs-Latn-BA"/>
        </w:rPr>
      </w:pPr>
      <w:r w:rsidRPr="00345938">
        <w:rPr>
          <w:lang w:val="bs-Latn-BA"/>
        </w:rPr>
        <w:t>Učešće u ovoj zajedničkoj evropskoj inicijativi dodatno potvrđuje značaj projekta AttractAdria i Univerziteta u Sarajevu u aktivnostima usmjerenim na unapređenje istraživačkog okruženja i snažnije uključivanje institucija Zapadnog Balkana u Evropski istraživački prostor.</w:t>
      </w:r>
    </w:p>
    <w:p w14:paraId="2BC6F859" w14:textId="77777777" w:rsidR="00345938" w:rsidRPr="00345938" w:rsidRDefault="00345938" w:rsidP="00345938">
      <w:pPr>
        <w:rPr>
          <w:lang w:val="bs-Latn-BA"/>
        </w:rPr>
      </w:pPr>
      <w:r w:rsidRPr="00345938">
        <w:rPr>
          <w:b/>
          <w:bCs/>
          <w:lang w:val="bs-Latn-BA"/>
        </w:rPr>
        <w:t>Više informacija:</w:t>
      </w:r>
    </w:p>
    <w:p w14:paraId="0B322C00" w14:textId="77777777" w:rsidR="00345938" w:rsidRPr="00345938" w:rsidRDefault="00345938" w:rsidP="00345938">
      <w:pPr>
        <w:numPr>
          <w:ilvl w:val="0"/>
          <w:numId w:val="3"/>
        </w:numPr>
        <w:rPr>
          <w:lang w:val="bs-Latn-BA"/>
        </w:rPr>
      </w:pPr>
      <w:hyperlink r:id="rId11" w:history="1">
        <w:r w:rsidRPr="00345938">
          <w:rPr>
            <w:rStyle w:val="Hyperlink"/>
            <w:lang w:val="bs-Latn-BA"/>
          </w:rPr>
          <w:t>Evropska komisija – Talent Ecosystems Cluster Event</w:t>
        </w:r>
      </w:hyperlink>
    </w:p>
    <w:p w14:paraId="1ECEC249" w14:textId="53139BB7" w:rsidR="00345938" w:rsidRPr="00345938" w:rsidRDefault="00345938" w:rsidP="00345938">
      <w:pPr>
        <w:numPr>
          <w:ilvl w:val="0"/>
          <w:numId w:val="3"/>
        </w:numPr>
        <w:rPr>
          <w:rStyle w:val="Hyperlink"/>
          <w:lang w:val="bs-Latn-BA"/>
        </w:rPr>
      </w:pPr>
      <w:r>
        <w:rPr>
          <w:lang w:val="bs-Latn-BA"/>
        </w:rPr>
        <w:fldChar w:fldCharType="begin"/>
      </w:r>
      <w:r>
        <w:rPr>
          <w:lang w:val="bs-Latn-BA"/>
        </w:rPr>
        <w:instrText>HYPERLINK "https://attract-adria.eu/event/attractadria-talent-ecosystems-cluster-event-2026/"</w:instrText>
      </w:r>
      <w:r>
        <w:rPr>
          <w:lang w:val="bs-Latn-BA"/>
        </w:rPr>
      </w:r>
      <w:r>
        <w:rPr>
          <w:lang w:val="bs-Latn-BA"/>
        </w:rPr>
        <w:fldChar w:fldCharType="separate"/>
      </w:r>
      <w:r w:rsidRPr="00345938">
        <w:rPr>
          <w:rStyle w:val="Hyperlink"/>
          <w:lang w:val="bs-Latn-BA"/>
        </w:rPr>
        <w:t>AttractAdria – službena web stranica</w:t>
      </w:r>
    </w:p>
    <w:p w14:paraId="5DAB6C7B" w14:textId="4F55A05F" w:rsidR="002C63BD" w:rsidRPr="00345938" w:rsidRDefault="00345938" w:rsidP="00AB0429">
      <w:r w:rsidRPr="00AB0429">
        <w:rPr>
          <w:lang w:val="bs-Latn-BA"/>
        </w:rPr>
        <w:fldChar w:fldCharType="end"/>
      </w:r>
    </w:p>
    <w:sectPr w:rsidR="002C63BD" w:rsidRPr="00345938">
      <w:headerReference w:type="even" r:id="rId12"/>
      <w:headerReference w:type="default" r:id="rId13"/>
      <w:footerReference w:type="even" r:id="rId14"/>
      <w:footerReference w:type="default" r:id="rId15"/>
      <w:headerReference w:type="first" r:id="rId16"/>
      <w:footerReference w:type="first" r:id="rId17"/>
      <w:pgSz w:w="11906" w:h="16838"/>
      <w:pgMar w:top="2552" w:right="1440" w:bottom="1440" w:left="1440" w:header="708" w:footer="5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A41ED" w14:textId="77777777" w:rsidR="004975B2" w:rsidRDefault="004975B2">
      <w:pPr>
        <w:spacing w:after="0" w:line="240" w:lineRule="auto"/>
      </w:pPr>
      <w:r>
        <w:separator/>
      </w:r>
    </w:p>
  </w:endnote>
  <w:endnote w:type="continuationSeparator" w:id="0">
    <w:p w14:paraId="3D5B3C99" w14:textId="77777777" w:rsidR="004975B2" w:rsidRDefault="00497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charset w:val="00"/>
    <w:family w:val="auto"/>
    <w:pitch w:val="variable"/>
    <w:sig w:usb0="8000002F" w:usb1="5000205B" w:usb2="00000000" w:usb3="00000000" w:csb0="00000093" w:csb1="00000000"/>
    <w:embedRegular r:id="rId1" w:fontKey="{5BC3DEF6-2F3F-48B3-9100-51F8F73D11EC}"/>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298C2F58-38B2-412B-8509-25182FE694D7}"/>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2B464C63-57FB-4AFD-A50E-B3D3927A578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A25F96EE-9CAF-4837-BD73-30843443E7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2C63BD" w:rsidRDefault="002C63BD">
    <w:pPr>
      <w:pBdr>
        <w:top w:val="nil"/>
        <w:left w:val="nil"/>
        <w:bottom w:val="nil"/>
        <w:right w:val="nil"/>
        <w:between w:val="nil"/>
      </w:pBdr>
      <w:tabs>
        <w:tab w:val="center" w:pos="4513"/>
        <w:tab w:val="right" w:pos="9026"/>
      </w:tabs>
      <w:spacing w:after="0" w:line="240" w:lineRule="auto"/>
      <w:rPr>
        <w:color w:val="00628C"/>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E452" w14:textId="053FCEED" w:rsidR="002C63BD" w:rsidRDefault="00D56CE7" w:rsidP="73915DBB">
    <w:pPr>
      <w:pBdr>
        <w:top w:val="nil"/>
        <w:left w:val="nil"/>
        <w:bottom w:val="nil"/>
        <w:right w:val="nil"/>
        <w:between w:val="nil"/>
      </w:pBdr>
      <w:tabs>
        <w:tab w:val="center" w:pos="4513"/>
        <w:tab w:val="right" w:pos="9026"/>
      </w:tabs>
      <w:spacing w:after="0" w:line="240" w:lineRule="auto"/>
      <w:jc w:val="right"/>
      <w:rPr>
        <w:color w:val="00628C"/>
        <w:sz w:val="18"/>
        <w:szCs w:val="18"/>
      </w:rPr>
    </w:pPr>
    <w:r>
      <w:rPr>
        <w:color w:val="00628C"/>
        <w:sz w:val="18"/>
        <w:szCs w:val="18"/>
      </w:rPr>
      <w:fldChar w:fldCharType="begin"/>
    </w:r>
    <w:r>
      <w:rPr>
        <w:color w:val="00628C"/>
        <w:sz w:val="18"/>
        <w:szCs w:val="18"/>
      </w:rPr>
      <w:instrText>PAGE</w:instrText>
    </w:r>
    <w:r>
      <w:rPr>
        <w:color w:val="00628C"/>
        <w:sz w:val="18"/>
        <w:szCs w:val="18"/>
      </w:rPr>
      <w:fldChar w:fldCharType="separate"/>
    </w:r>
    <w:r w:rsidR="003044A1">
      <w:rPr>
        <w:noProof/>
        <w:color w:val="00628C"/>
        <w:sz w:val="18"/>
        <w:szCs w:val="18"/>
      </w:rPr>
      <w:t>1</w:t>
    </w:r>
    <w:r>
      <w:rPr>
        <w:color w:val="00628C"/>
        <w:sz w:val="18"/>
        <w:szCs w:val="18"/>
      </w:rPr>
      <w:fldChar w:fldCharType="end"/>
    </w:r>
    <w:r>
      <w:rPr>
        <w:noProof/>
      </w:rPr>
      <mc:AlternateContent>
        <mc:Choice Requires="wps">
          <w:drawing>
            <wp:anchor distT="0" distB="0" distL="0" distR="0" simplePos="0" relativeHeight="251660288" behindDoc="1" locked="0" layoutInCell="1" hidden="0" allowOverlap="1" wp14:anchorId="5E410122" wp14:editId="07777777">
              <wp:simplePos x="0" y="0"/>
              <wp:positionH relativeFrom="column">
                <wp:posOffset>1199966</wp:posOffset>
              </wp:positionH>
              <wp:positionV relativeFrom="paragraph">
                <wp:posOffset>-72706</wp:posOffset>
              </wp:positionV>
              <wp:extent cx="3286125" cy="1414145"/>
              <wp:effectExtent l="0" t="0" r="0" b="0"/>
              <wp:wrapNone/>
              <wp:docPr id="1" name="Rectangle 1"/>
              <wp:cNvGraphicFramePr/>
              <a:graphic xmlns:a="http://schemas.openxmlformats.org/drawingml/2006/main">
                <a:graphicData uri="http://schemas.microsoft.com/office/word/2010/wordprocessingShape">
                  <wps:wsp>
                    <wps:cNvSpPr/>
                    <wps:spPr>
                      <a:xfrm>
                        <a:off x="3707700" y="3077690"/>
                        <a:ext cx="3276600" cy="1404620"/>
                      </a:xfrm>
                      <a:prstGeom prst="rect">
                        <a:avLst/>
                      </a:prstGeom>
                      <a:noFill/>
                      <a:ln>
                        <a:noFill/>
                      </a:ln>
                    </wps:spPr>
                    <wps:txbx>
                      <w:txbxContent>
                        <w:p w14:paraId="2DF6EFC3" w14:textId="77777777" w:rsidR="002C63BD" w:rsidRDefault="00D56CE7">
                          <w:pPr>
                            <w:spacing w:line="258" w:lineRule="auto"/>
                            <w:textDirection w:val="btLr"/>
                          </w:pPr>
                          <w:r>
                            <w:rPr>
                              <w:sz w:val="12"/>
                            </w:rPr>
                            <w:t>Funded by the European Union. Views and opinions expressed are however those of the author(s) only and do not necessarily reflect those of the European Union or REA. Neither the European Union nor the granting authority can be held responsible for them.</w:t>
                          </w:r>
                        </w:p>
                      </w:txbxContent>
                    </wps:txbx>
                    <wps:bodyPr spcFirstLastPara="1" wrap="square" lIns="91425" tIns="45700" rIns="91425" bIns="45700" anchor="t" anchorCtr="0">
                      <a:noAutofit/>
                    </wps:bodyPr>
                  </wps:wsp>
                </a:graphicData>
              </a:graphic>
            </wp:anchor>
          </w:drawing>
        </mc:Choice>
        <mc:Fallback>
          <w:pict>
            <v:rect w14:anchorId="5E410122" id="Rectangle 1" o:spid="_x0000_s1026" style="position:absolute;left:0;text-align:left;margin-left:94.5pt;margin-top:-5.7pt;width:258.75pt;height:111.3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" filled="f" stroked="f">
              <v:textbox inset="2.53958mm,1.2694mm,2.53958mm,1.2694mm">
                <w:txbxContent>
                  <w:p w14:paraId="2DF6EFC3" w14:textId="77777777" w:rsidR="002C63BD" w:rsidRDefault="00D56CE7">
                    <w:pPr>
                      <w:spacing w:line="258" w:lineRule="auto"/>
                      <w:textDirection w:val="btLr"/>
                    </w:pPr>
                    <w:r>
                      <w:rPr>
                        <w:sz w:val="12"/>
                      </w:rPr>
                      <w:t>Funded by the European Union. Views and opinions expressed are however those of the author(s) only and do not necessarily reflect those of the European Union or REA. Neither the European Union nor the granting authority can be held responsible for them.</w:t>
                    </w:r>
                  </w:p>
                </w:txbxContent>
              </v:textbox>
            </v:rect>
          </w:pict>
        </mc:Fallback>
      </mc:AlternateContent>
    </w:r>
    <w:r>
      <w:rPr>
        <w:noProof/>
      </w:rPr>
      <w:drawing>
        <wp:anchor distT="0" distB="0" distL="0" distR="0" simplePos="0" relativeHeight="251661312" behindDoc="1" locked="0" layoutInCell="1" hidden="0" allowOverlap="1" wp14:anchorId="4C9FDCDA" wp14:editId="07777777">
          <wp:simplePos x="0" y="0"/>
          <wp:positionH relativeFrom="column">
            <wp:posOffset>-470533</wp:posOffset>
          </wp:positionH>
          <wp:positionV relativeFrom="paragraph">
            <wp:posOffset>-30479</wp:posOffset>
          </wp:positionV>
          <wp:extent cx="1499870" cy="314325"/>
          <wp:effectExtent l="0" t="0" r="0" b="0"/>
          <wp:wrapNone/>
          <wp:docPr id="3" name="image3.png" descr="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Blue text on a black background&#10;&#10;AI-generated content may be incorrect."/>
                  <pic:cNvPicPr preferRelativeResize="0"/>
                </pic:nvPicPr>
                <pic:blipFill>
                  <a:blip r:embed="rId1"/>
                  <a:srcRect/>
                  <a:stretch>
                    <a:fillRect/>
                  </a:stretch>
                </pic:blipFill>
                <pic:spPr>
                  <a:xfrm>
                    <a:off x="0" y="0"/>
                    <a:ext cx="1499870" cy="314325"/>
                  </a:xfrm>
                  <a:prstGeom prst="rect">
                    <a:avLst/>
                  </a:prstGeom>
                  <a:ln/>
                </pic:spPr>
              </pic:pic>
            </a:graphicData>
          </a:graphic>
        </wp:anchor>
      </w:drawing>
    </w:r>
  </w:p>
  <w:p w14:paraId="5A39BBE3" w14:textId="77777777" w:rsidR="002C63BD" w:rsidRDefault="002C63BD">
    <w:pPr>
      <w:pBdr>
        <w:top w:val="nil"/>
        <w:left w:val="nil"/>
        <w:bottom w:val="nil"/>
        <w:right w:val="nil"/>
        <w:between w:val="nil"/>
      </w:pBdr>
      <w:tabs>
        <w:tab w:val="center" w:pos="4513"/>
        <w:tab w:val="right" w:pos="9026"/>
      </w:tabs>
      <w:spacing w:after="0" w:line="240" w:lineRule="auto"/>
      <w:rPr>
        <w:color w:val="00628C"/>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2C63BD" w:rsidRDefault="002C63BD">
    <w:pPr>
      <w:pBdr>
        <w:top w:val="nil"/>
        <w:left w:val="nil"/>
        <w:bottom w:val="nil"/>
        <w:right w:val="nil"/>
        <w:between w:val="nil"/>
      </w:pBdr>
      <w:tabs>
        <w:tab w:val="center" w:pos="4513"/>
        <w:tab w:val="right" w:pos="9026"/>
      </w:tabs>
      <w:spacing w:after="0" w:line="240" w:lineRule="auto"/>
      <w:rPr>
        <w:color w:val="00628C"/>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1065F" w14:textId="77777777" w:rsidR="004975B2" w:rsidRDefault="004975B2">
      <w:pPr>
        <w:spacing w:after="0" w:line="240" w:lineRule="auto"/>
      </w:pPr>
      <w:r>
        <w:separator/>
      </w:r>
    </w:p>
  </w:footnote>
  <w:footnote w:type="continuationSeparator" w:id="0">
    <w:p w14:paraId="220283CF" w14:textId="77777777" w:rsidR="004975B2" w:rsidRDefault="00497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2C63BD" w:rsidRDefault="002C63BD">
    <w:pPr>
      <w:pBdr>
        <w:top w:val="nil"/>
        <w:left w:val="nil"/>
        <w:bottom w:val="nil"/>
        <w:right w:val="nil"/>
        <w:between w:val="nil"/>
      </w:pBdr>
      <w:tabs>
        <w:tab w:val="center" w:pos="4513"/>
        <w:tab w:val="right" w:pos="9026"/>
      </w:tabs>
      <w:spacing w:after="0" w:line="240" w:lineRule="auto"/>
      <w:rPr>
        <w:color w:va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E77D" w14:textId="77777777" w:rsidR="002C63BD" w:rsidRDefault="00D56CE7">
    <w:pPr>
      <w:pBdr>
        <w:top w:val="nil"/>
        <w:left w:val="nil"/>
        <w:bottom w:val="nil"/>
        <w:right w:val="nil"/>
        <w:between w:val="nil"/>
      </w:pBdr>
      <w:tabs>
        <w:tab w:val="center" w:pos="4513"/>
        <w:tab w:val="right" w:pos="9026"/>
      </w:tabs>
      <w:spacing w:after="0" w:line="240" w:lineRule="auto"/>
      <w:rPr>
        <w:color w:val="FFFFFF"/>
      </w:rPr>
    </w:pPr>
    <w:r>
      <w:rPr>
        <w:color w:val="FFFFFF"/>
      </w:rPr>
      <w:tab/>
    </w:r>
    <w:r>
      <w:rPr>
        <w:noProof/>
      </w:rPr>
      <w:drawing>
        <wp:anchor distT="0" distB="0" distL="0" distR="0" simplePos="0" relativeHeight="251658240" behindDoc="1" locked="0" layoutInCell="1" hidden="0" allowOverlap="1" wp14:anchorId="6124A48D" wp14:editId="07777777">
          <wp:simplePos x="0" y="0"/>
          <wp:positionH relativeFrom="column">
            <wp:posOffset>3319603</wp:posOffset>
          </wp:positionH>
          <wp:positionV relativeFrom="paragraph">
            <wp:posOffset>-151867</wp:posOffset>
          </wp:positionV>
          <wp:extent cx="2986735" cy="834539"/>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986735" cy="834539"/>
                  </a:xfrm>
                  <a:prstGeom prst="rect">
                    <a:avLst/>
                  </a:prstGeom>
                  <a:ln/>
                </pic:spPr>
              </pic:pic>
            </a:graphicData>
          </a:graphic>
        </wp:anchor>
      </w:drawing>
    </w:r>
    <w:r>
      <w:rPr>
        <w:noProof/>
      </w:rPr>
      <w:drawing>
        <wp:anchor distT="0" distB="0" distL="0" distR="0" simplePos="0" relativeHeight="251659264" behindDoc="1" locked="0" layoutInCell="1" hidden="0" allowOverlap="1" wp14:anchorId="09F263C4" wp14:editId="07777777">
          <wp:simplePos x="0" y="0"/>
          <wp:positionH relativeFrom="column">
            <wp:posOffset>-914399</wp:posOffset>
          </wp:positionH>
          <wp:positionV relativeFrom="paragraph">
            <wp:posOffset>-448833</wp:posOffset>
          </wp:positionV>
          <wp:extent cx="1261110" cy="1261110"/>
          <wp:effectExtent l="0" t="0" r="0" b="0"/>
          <wp:wrapNone/>
          <wp:docPr id="5" name="image1.png" descr="A blue and black corn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black corner&#10;&#10;AI-generated content may be incorrect."/>
                  <pic:cNvPicPr preferRelativeResize="0"/>
                </pic:nvPicPr>
                <pic:blipFill>
                  <a:blip r:embed="rId2"/>
                  <a:srcRect/>
                  <a:stretch>
                    <a:fillRect/>
                  </a:stretch>
                </pic:blipFill>
                <pic:spPr>
                  <a:xfrm rot="10800000">
                    <a:off x="0" y="0"/>
                    <a:ext cx="1261110" cy="126111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77777777" w:rsidR="002C63BD" w:rsidRDefault="002C63BD">
    <w:pPr>
      <w:pBdr>
        <w:top w:val="nil"/>
        <w:left w:val="nil"/>
        <w:bottom w:val="nil"/>
        <w:right w:val="nil"/>
        <w:between w:val="nil"/>
      </w:pBdr>
      <w:tabs>
        <w:tab w:val="center" w:pos="4513"/>
        <w:tab w:val="right" w:pos="9026"/>
      </w:tabs>
      <w:spacing w:after="0" w:line="240" w:lineRule="auto"/>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F33A6"/>
    <w:multiLevelType w:val="multilevel"/>
    <w:tmpl w:val="FFFFFFFF"/>
    <w:lvl w:ilvl="0">
      <w:start w:val="1"/>
      <w:numFmt w:val="bullet"/>
      <w:lvlText w:val="•"/>
      <w:lvlJc w:val="left"/>
      <w:pPr>
        <w:ind w:left="720" w:hanging="360"/>
      </w:pPr>
      <w:rPr>
        <w:rFonts w:ascii="DM Sans" w:eastAsia="DM Sans" w:hAnsi="DM Sans" w:cs="DM Sans"/>
        <w:b w:val="0"/>
        <w:bCs w:val="0"/>
        <w:i w:val="0"/>
        <w:iCs w:val="0"/>
        <w:smallCaps w:val="0"/>
        <w:strike w:val="0"/>
        <w:color w:val="1CB5AF"/>
        <w:u w:val="none"/>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6A561A5"/>
    <w:multiLevelType w:val="multilevel"/>
    <w:tmpl w:val="60B8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34533E"/>
    <w:multiLevelType w:val="multilevel"/>
    <w:tmpl w:val="FFFFFFFF"/>
    <w:lvl w:ilvl="0">
      <w:start w:val="1"/>
      <w:numFmt w:val="bullet"/>
      <w:lvlText w:val="•"/>
      <w:lvlJc w:val="left"/>
      <w:pPr>
        <w:ind w:left="720" w:hanging="360"/>
      </w:pPr>
      <w:rPr>
        <w:rFonts w:ascii="DM Sans" w:eastAsia="DM Sans" w:hAnsi="DM Sans" w:cs="DM Sans"/>
        <w:b w:val="0"/>
        <w:bCs w:val="0"/>
        <w:i w:val="0"/>
        <w:iCs w:val="0"/>
        <w:smallCaps w:val="0"/>
        <w:strike w:val="0"/>
        <w:color w:val="1CB5AF"/>
        <w:u w:val="none"/>
        <w:vertAlign w:val="baseline"/>
      </w:rPr>
    </w:lvl>
    <w:lvl w:ilvl="1">
      <w:start w:val="1"/>
      <w:numFmt w:val="bullet"/>
      <w:lvlText w:val="•"/>
      <w:lvlJc w:val="left"/>
      <w:pPr>
        <w:ind w:left="1440" w:hanging="360"/>
      </w:pPr>
      <w:rPr>
        <w:rFonts w:ascii="DM Sans" w:eastAsia="DM Sans" w:hAnsi="DM Sans" w:cs="DM Sans"/>
        <w:b w:val="0"/>
        <w:bCs w:val="0"/>
        <w:i w:val="0"/>
        <w:iCs w:val="0"/>
        <w:smallCaps w:val="0"/>
        <w:strike w:val="0"/>
        <w:color w:val="1CB5AF"/>
        <w:u w:val="none"/>
        <w:vertAlign w:val="baseline"/>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0250612">
    <w:abstractNumId w:val="0"/>
  </w:num>
  <w:num w:numId="2" w16cid:durableId="692266070">
    <w:abstractNumId w:val="2"/>
  </w:num>
  <w:num w:numId="3" w16cid:durableId="196966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3BD"/>
    <w:rsid w:val="002C63BD"/>
    <w:rsid w:val="003044A1"/>
    <w:rsid w:val="00345938"/>
    <w:rsid w:val="004975B2"/>
    <w:rsid w:val="00AB0429"/>
    <w:rsid w:val="00BA45EA"/>
    <w:rsid w:val="00C22762"/>
    <w:rsid w:val="00CA1937"/>
    <w:rsid w:val="00D56CE7"/>
    <w:rsid w:val="00FC0560"/>
    <w:rsid w:val="060B3433"/>
    <w:rsid w:val="4AB3B661"/>
    <w:rsid w:val="6C6390F9"/>
    <w:rsid w:val="73915D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1763"/>
  <w15:docId w15:val="{103E9E3E-BB72-4978-8B62-4264DE172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B2C2D"/>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00628C"/>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00628C"/>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0202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02021"/>
    </w:rPr>
  </w:style>
  <w:style w:type="paragraph" w:styleId="Heading5">
    <w:name w:val="heading 5"/>
    <w:basedOn w:val="Normal"/>
    <w:next w:val="Normal"/>
    <w:uiPriority w:val="9"/>
    <w:semiHidden/>
    <w:unhideWhenUsed/>
    <w:qFormat/>
    <w:pPr>
      <w:keepNext/>
      <w:keepLines/>
      <w:spacing w:before="80" w:after="40"/>
      <w:outlineLvl w:val="4"/>
    </w:pPr>
    <w:rPr>
      <w:color w:val="202021"/>
    </w:rPr>
  </w:style>
  <w:style w:type="paragraph" w:styleId="Heading6">
    <w:name w:val="heading 6"/>
    <w:basedOn w:val="Normal"/>
    <w:next w:val="Normal"/>
    <w:uiPriority w:val="9"/>
    <w:semiHidden/>
    <w:unhideWhenUsed/>
    <w:qFormat/>
    <w:pPr>
      <w:keepNext/>
      <w:keepLines/>
      <w:spacing w:before="40" w:after="0"/>
      <w:outlineLvl w:val="5"/>
    </w:pPr>
    <w:rPr>
      <w:i/>
      <w:iCs/>
      <w:color w:val="7375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240" w:line="240" w:lineRule="auto"/>
    </w:pPr>
    <w:rPr>
      <w:b/>
      <w:bCs/>
      <w:color w:val="1CB5AF"/>
      <w:sz w:val="26"/>
      <w:szCs w:val="26"/>
    </w:rPr>
  </w:style>
  <w:style w:type="paragraph" w:styleId="Subtitle">
    <w:name w:val="Subtitle"/>
    <w:basedOn w:val="Normal"/>
    <w:next w:val="Normal"/>
    <w:uiPriority w:val="11"/>
    <w:qFormat/>
    <w:rPr>
      <w:color w:val="00628C"/>
      <w:sz w:val="28"/>
      <w:szCs w:val="28"/>
    </w:rPr>
  </w:style>
  <w:style w:type="table" w:customStyle="1" w:styleId="a">
    <w:basedOn w:val="TableNormal0"/>
    <w:pPr>
      <w:spacing w:after="0" w:line="240" w:lineRule="auto"/>
    </w:pPr>
    <w:rPr>
      <w:color w:val="FFFFFF"/>
    </w:rPr>
    <w:tblPr>
      <w:tblStyleRowBandSize w:val="1"/>
      <w:tblStyleColBandSize w:val="1"/>
      <w:tblCellMar>
        <w:top w:w="0" w:type="dxa"/>
        <w:left w:w="115" w:type="dxa"/>
        <w:bottom w:w="0" w:type="dxa"/>
        <w:right w:w="115" w:type="dxa"/>
      </w:tblCellMar>
    </w:tblPr>
    <w:tcPr>
      <w:shd w:val="clear" w:color="auto" w:fill="FFFFFF"/>
    </w:tcPr>
    <w:tblStylePr w:type="firstRow">
      <w:rPr>
        <w:b/>
        <w:bCs/>
      </w:rPr>
      <w:tblPr/>
      <w:tcPr>
        <w:shd w:val="clear" w:color="auto" w:fill="00628C"/>
      </w:tcPr>
    </w:tblStylePr>
    <w:tblStylePr w:type="lastRow">
      <w:rPr>
        <w:b/>
        <w:bCs/>
        <w:color w:val="2B2C2D"/>
      </w:rPr>
      <w:tblPr/>
      <w:tcPr>
        <w:tcBorders>
          <w:top w:val="single" w:sz="4" w:space="0" w:color="62E6E1"/>
          <w:bottom w:val="nil"/>
          <w:insideH w:val="nil"/>
          <w:insideV w:val="nil"/>
        </w:tcBorders>
        <w:shd w:val="clear" w:color="auto" w:fill="FFFFFF"/>
      </w:tcPr>
    </w:tblStylePr>
    <w:tblStylePr w:type="firstCol">
      <w:rPr>
        <w:b/>
        <w:bCs/>
      </w:rPr>
    </w:tblStylePr>
    <w:tblStylePr w:type="lastCol">
      <w:rPr>
        <w:b/>
        <w:bCs/>
      </w:rPr>
    </w:tblStylePr>
    <w:tblStylePr w:type="band1Horz">
      <w:tblPr/>
      <w:tcPr>
        <w:shd w:val="clear" w:color="auto" w:fill="CAF6F5"/>
      </w:tcPr>
    </w:tblStylePr>
    <w:tblStylePr w:type="band2Horz">
      <w:rPr>
        <w:color w:val="FFFFFF"/>
      </w:rPr>
      <w:tblPr/>
      <w:tcPr>
        <w:shd w:val="clear" w:color="auto" w:fill="FFFFFF"/>
      </w:tcPr>
    </w:tblStylePr>
  </w:style>
  <w:style w:type="character" w:styleId="Hyperlink">
    <w:name w:val="Hyperlink"/>
    <w:basedOn w:val="DefaultParagraphFont"/>
    <w:uiPriority w:val="99"/>
    <w:unhideWhenUsed/>
    <w:rsid w:val="00345938"/>
    <w:rPr>
      <w:color w:val="0000FF" w:themeColor="hyperlink"/>
      <w:u w:val="single"/>
    </w:rPr>
  </w:style>
  <w:style w:type="character" w:styleId="UnresolvedMention">
    <w:name w:val="Unresolved Mention"/>
    <w:basedOn w:val="DefaultParagraphFont"/>
    <w:uiPriority w:val="99"/>
    <w:semiHidden/>
    <w:unhideWhenUsed/>
    <w:rsid w:val="00345938"/>
    <w:rPr>
      <w:color w:val="605E5C"/>
      <w:shd w:val="clear" w:color="auto" w:fill="E1DFDD"/>
    </w:rPr>
  </w:style>
  <w:style w:type="character" w:styleId="FollowedHyperlink">
    <w:name w:val="FollowedHyperlink"/>
    <w:basedOn w:val="DefaultParagraphFont"/>
    <w:uiPriority w:val="99"/>
    <w:semiHidden/>
    <w:unhideWhenUsed/>
    <w:rsid w:val="003459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a.ec.europa.eu/events/talent-ecosystems-building-sustainable-research-careers-2026-09-29_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drive.google.com/file/d/1m4ookVWu2iWZbfzVVUAfRy960ml0XyCl/view?pli=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510cd7-d641-4027-ba22-509e86e2b504">
      <Terms xmlns="http://schemas.microsoft.com/office/infopath/2007/PartnerControls"/>
    </lcf76f155ced4ddcb4097134ff3c332f>
    <TaxCatchAll xmlns="9f0191b6-6782-497f-b9fb-1dc13d4541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C020914F6CE4AB71631FBDED4245B" ma:contentTypeVersion="11" ma:contentTypeDescription="Create a new document." ma:contentTypeScope="" ma:versionID="30de8909355972fe4be786cd7866211f">
  <xsd:schema xmlns:xsd="http://www.w3.org/2001/XMLSchema" xmlns:xs="http://www.w3.org/2001/XMLSchema" xmlns:p="http://schemas.microsoft.com/office/2006/metadata/properties" xmlns:ns2="71510cd7-d641-4027-ba22-509e86e2b504" xmlns:ns3="9f0191b6-6782-497f-b9fb-1dc13d4541f6" targetNamespace="http://schemas.microsoft.com/office/2006/metadata/properties" ma:root="true" ma:fieldsID="9b780749516634db8cbeb65574f7ca6d" ns2:_="" ns3:_="">
    <xsd:import namespace="71510cd7-d641-4027-ba22-509e86e2b504"/>
    <xsd:import namespace="9f0191b6-6782-497f-b9fb-1dc13d454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10cd7-d641-4027-ba22-509e86e2b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66e6b8-53b5-4b1c-99a1-2debfb1416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0191b6-6782-497f-b9fb-1dc13d4541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9d87db-01ac-484b-955d-7ca679755cbc}" ma:internalName="TaxCatchAll" ma:showField="CatchAllData" ma:web="9f0191b6-6782-497f-b9fb-1dc13d45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DC6B7A-D11F-40D4-9F00-0384CD8E8E12}">
  <ds:schemaRefs>
    <ds:schemaRef ds:uri="http://schemas.microsoft.com/sharepoint/v3/contenttype/forms"/>
  </ds:schemaRefs>
</ds:datastoreItem>
</file>

<file path=customXml/itemProps2.xml><?xml version="1.0" encoding="utf-8"?>
<ds:datastoreItem xmlns:ds="http://schemas.openxmlformats.org/officeDocument/2006/customXml" ds:itemID="{CC52B8A0-5F40-4CD3-A3B7-E9967A7FEA53}">
  <ds:schemaRefs>
    <ds:schemaRef ds:uri="http://schemas.microsoft.com/office/2006/metadata/properties"/>
    <ds:schemaRef ds:uri="http://schemas.microsoft.com/office/infopath/2007/PartnerControls"/>
    <ds:schemaRef ds:uri="71510cd7-d641-4027-ba22-509e86e2b504"/>
    <ds:schemaRef ds:uri="9f0191b6-6782-497f-b9fb-1dc13d4541f6"/>
  </ds:schemaRefs>
</ds:datastoreItem>
</file>

<file path=customXml/itemProps3.xml><?xml version="1.0" encoding="utf-8"?>
<ds:datastoreItem xmlns:ds="http://schemas.openxmlformats.org/officeDocument/2006/customXml" ds:itemID="{D4D7ABA6-D375-4C45-B2E4-CBAE561AF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10cd7-d641-4027-ba22-509e86e2b504"/>
    <ds:schemaRef ds:uri="9f0191b6-6782-497f-b9fb-1dc13d454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Elma Omeragic</dc:creator>
  <cp:lastModifiedBy>Elma Omeragić</cp:lastModifiedBy>
  <cp:revision>3</cp:revision>
  <dcterms:created xsi:type="dcterms:W3CDTF">2026-10-12T15:57:00Z</dcterms:created>
  <dcterms:modified xsi:type="dcterms:W3CDTF">2026-10-12T15:59:00Z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0x0101009E8C020914F6CE4AB71631FBDED4245B</vt:lpwstr>
  </property>
  <property fmtid="{D5CDD505-2E9C-101B-9397-08002B2CF9AE}" pid="3" name="MediaServiceImageTags">
    <vt:lpwstr/>
  </property>
</Properties>
</file>